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992A" w14:textId="59A12563" w:rsidR="00A57884" w:rsidRPr="00A57884" w:rsidRDefault="00A57884" w:rsidP="00A57884">
      <w:pPr>
        <w:numPr>
          <w:ilvl w:val="0"/>
          <w:numId w:val="1"/>
        </w:numPr>
        <w:shd w:val="clear" w:color="auto" w:fill="FFFFFF"/>
        <w:spacing w:before="100" w:beforeAutospacing="1" w:after="120" w:line="240" w:lineRule="auto"/>
        <w:bidi/>
        <w:rPr>
          <w:color w:val="70767A"/>
          <w:spacing w:val="-8"/>
          <w:kern w:val="0"/>
          <w:sz w:val="24"/>
          <w:szCs w:val="24"/>
          <w14:ligatures w14:val="none"/>
          <w:rFonts w:ascii="Vodafone Rg" w:eastAsia="Times New Roman" w:hAnsi="Vodafone Rg" w:cs="Arial" w:hint="cs"/>
          <w:rtl/>
        </w:rPr>
      </w:pPr>
      <w:r>
        <w:rPr>
          <w:b/>
          <w:bCs/>
          <w:color w:val="474B4F"/>
          <w:sz w:val="27"/>
          <w:szCs w:val="27"/>
          <w:rFonts w:ascii="Vodafone Rg" w:hAnsi="Vodafone Rg" w:hint="cs" w:cs="Arial"/>
          <w:rtl/>
        </w:rPr>
        <w:t xml:space="preserve">عروض </w:t>
      </w:r>
      <w:r>
        <w:rPr>
          <w:b/>
          <w:bCs/>
          <w:color w:val="474B4F"/>
          <w:sz w:val="27"/>
          <w:szCs w:val="27"/>
          <w:rFonts w:ascii="Vodafone Rg" w:hAnsi="Vodafone Rg" w:cs="Arial"/>
        </w:rPr>
        <w:t xml:space="preserve">Vodafone My Book</w:t>
      </w:r>
    </w:p>
    <w:p w14:paraId="3C8CD419" w14:textId="77777777" w:rsidR="00A57884" w:rsidRPr="00A57884" w:rsidRDefault="00A57884" w:rsidP="00A57884">
      <w:pPr>
        <w:numPr>
          <w:ilvl w:val="1"/>
          <w:numId w:val="1"/>
        </w:numPr>
        <w:shd w:val="clear" w:color="auto" w:fill="FFFFFF"/>
        <w:spacing w:before="100" w:beforeAutospacing="1"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 الاستفادة من العروض طوال أيام الأسبوع - قد تطبق استثناءات خاصة بكل محل تجاري.</w:t>
      </w:r>
    </w:p>
    <w:p w14:paraId="01B19608" w14:textId="77777777" w:rsidR="00A57884" w:rsidRPr="00A57884" w:rsidRDefault="00A57884" w:rsidP="00A57884">
      <w:pPr>
        <w:numPr>
          <w:ilvl w:val="1"/>
          <w:numId w:val="1"/>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 لشخصين على الأقل الاستفادة من كل عرض (باستثناء العروض على خدمات الجمال والاستجمام والصحة واللياقة).</w:t>
      </w:r>
    </w:p>
    <w:p w14:paraId="14D5674F" w14:textId="77777777" w:rsidR="00A57884" w:rsidRPr="00A57884" w:rsidRDefault="00A57884" w:rsidP="00A57884">
      <w:pPr>
        <w:numPr>
          <w:ilvl w:val="1"/>
          <w:numId w:val="1"/>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 لمجموعة مكونة من </w:t>
      </w:r>
      <w:r>
        <w:rPr>
          <w:color w:val="70767A"/>
          <w:sz w:val="24"/>
          <w:szCs w:val="24"/>
          <w:rFonts w:ascii="Vodafone Rg" w:hAnsi="Vodafone Rg" w:hint="cs" w:cs="Arial"/>
          <w:rtl/>
        </w:rPr>
        <w:t xml:space="preserve">8 أشخاص أو أكثر الاستفادة حتى </w:t>
      </w:r>
      <w:r>
        <w:rPr>
          <w:color w:val="70767A"/>
          <w:sz w:val="24"/>
          <w:szCs w:val="24"/>
          <w:rFonts w:ascii="Vodafone Rg" w:hAnsi="Vodafone Rg" w:hint="cs" w:cs="Arial"/>
          <w:rtl/>
        </w:rPr>
        <w:t xml:space="preserve">4 عروض في وقت واحد.</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وبإمكان البالغين فقط الاستفادة من العروض المقدمة على الأطعمة والمشروبات.</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ويحدد المحل التجاري، وفقاً لتقديره الخاص، إمكانية استفادة الأطفال من أي عروض مقدمة.</w:t>
      </w:r>
    </w:p>
    <w:p w14:paraId="59E8F03B" w14:textId="77777777" w:rsidR="00A57884" w:rsidRPr="00A57884" w:rsidRDefault="00A57884" w:rsidP="00A57884">
      <w:pPr>
        <w:numPr>
          <w:ilvl w:val="1"/>
          <w:numId w:val="1"/>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يجب تقديم قسيمة العرض قبل إتمام عملية الدفع أو طلب الفاتورة.</w:t>
      </w:r>
    </w:p>
    <w:p w14:paraId="5854F08F" w14:textId="77777777" w:rsidR="00A57884" w:rsidRPr="00A57884" w:rsidRDefault="00A57884" w:rsidP="00A57884">
      <w:pPr>
        <w:numPr>
          <w:ilvl w:val="1"/>
          <w:numId w:val="1"/>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تُعتبر العروض غير صالحة في حال اقترنت بأي خصومات أو عروض ترويجية أخرى أو عروض على قوائم طعام محددة أو برامج الولاء / الجوائز.</w:t>
      </w:r>
    </w:p>
    <w:p w14:paraId="4D9D71B8" w14:textId="77777777" w:rsidR="00A57884" w:rsidRPr="00A57884" w:rsidRDefault="00A57884" w:rsidP="00A57884">
      <w:pPr>
        <w:numPr>
          <w:ilvl w:val="1"/>
          <w:numId w:val="1"/>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ينطبق الخصم دائماً على البند الأقل تكلفة ضمن الفاتورة.</w:t>
      </w:r>
    </w:p>
    <w:p w14:paraId="2C207C88" w14:textId="77777777" w:rsidR="00A57884" w:rsidRPr="00A57884" w:rsidRDefault="00A57884" w:rsidP="00A57884">
      <w:pPr>
        <w:numPr>
          <w:ilvl w:val="1"/>
          <w:numId w:val="1"/>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تتضمن جميع القسائم قيمة توفير تقديرية وتعتبر القيمة مجرد تقدير وليست ثابتة لذلك قد تختلف القيمة المحددة للعرض.</w:t>
      </w:r>
    </w:p>
    <w:p w14:paraId="75563B54" w14:textId="77777777" w:rsidR="00A57884" w:rsidRPr="00A57884" w:rsidRDefault="00A57884" w:rsidP="00A57884">
      <w:pPr>
        <w:shd w:val="clear" w:color="auto" w:fill="FFFFFF"/>
        <w:spacing w:before="720" w:after="120" w:line="240" w:lineRule="auto"/>
        <w:outlineLvl w:val="1"/>
        <w:bidi/>
        <w:rPr>
          <w:b/>
          <w:bCs/>
          <w:caps/>
          <w:color w:val="00B9BD"/>
          <w:spacing w:val="-8"/>
          <w:kern w:val="0"/>
          <w:sz w:val="36"/>
          <w:szCs w:val="36"/>
          <w14:ligatures w14:val="none"/>
          <w:rFonts w:ascii="Vodafone Rg" w:eastAsia="Times New Roman" w:hAnsi="Vodafone Rg" w:cs="Arial" w:hint="cs"/>
          <w:rtl/>
        </w:rPr>
      </w:pPr>
      <w:r>
        <w:rPr>
          <w:b/>
          <w:bCs/>
          <w:caps/>
          <w:color w:val="00B9BD"/>
          <w:sz w:val="36"/>
          <w:szCs w:val="36"/>
          <w:rFonts w:ascii="Vodafone Rg" w:hAnsi="Vodafone Rg" w:hint="cs" w:cs="Arial"/>
          <w:rtl/>
        </w:rPr>
        <w:t xml:space="preserve">تفاصيل قواعد الاستخدام</w:t>
      </w:r>
    </w:p>
    <w:p w14:paraId="082F0220" w14:textId="360B7426" w:rsidR="00A57884" w:rsidRPr="00A57884" w:rsidRDefault="00A57884" w:rsidP="00A57884">
      <w:p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تخضع جميع عروض </w:t>
      </w:r>
      <w:r>
        <w:rPr>
          <w:color w:val="70767A"/>
          <w:sz w:val="24"/>
          <w:szCs w:val="24"/>
          <w:rFonts w:ascii="Vodafone Rg" w:hAnsi="Vodafone Rg" w:cs="Arial"/>
        </w:rPr>
        <w:t xml:space="preserve">Vodafone My Book</w:t>
      </w:r>
      <w:r>
        <w:rPr>
          <w:color w:val="70767A"/>
          <w:sz w:val="24"/>
          <w:szCs w:val="24"/>
          <w:rFonts w:ascii="Vodafone Rg" w:hAnsi="Vodafone Rg" w:hint="cs" w:cs="Arial"/>
          <w:rtl/>
        </w:rPr>
        <w:t xml:space="preserve"> ("العروض") لقواعد الاستخدام هذه ("القواعد") ولأي شروط استخدام مطبّقة على العروض هذه.</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يجب على العملاء قراءة هذه القواعد بعناية قبل الاستفادة من أي عرض</w:t>
      </w:r>
    </w:p>
    <w:p w14:paraId="0E713BCD" w14:textId="77777777" w:rsidR="00A57884" w:rsidRPr="00A57884" w:rsidRDefault="00A57884" w:rsidP="00A57884">
      <w:pPr>
        <w:numPr>
          <w:ilvl w:val="0"/>
          <w:numId w:val="2"/>
        </w:numPr>
        <w:shd w:val="clear" w:color="auto" w:fill="FFFFFF"/>
        <w:spacing w:before="100" w:beforeAutospacing="1" w:after="120" w:line="240" w:lineRule="auto"/>
        <w:bidi/>
        <w:rPr>
          <w:color w:val="70767A"/>
          <w:spacing w:val="-8"/>
          <w:kern w:val="0"/>
          <w:sz w:val="24"/>
          <w:szCs w:val="24"/>
          <w14:ligatures w14:val="none"/>
          <w:rFonts w:ascii="Vodafone Rg" w:eastAsia="Times New Roman" w:hAnsi="Vodafone Rg" w:cs="Arial" w:hint="cs"/>
          <w:rtl/>
        </w:rPr>
      </w:pPr>
      <w:r>
        <w:rPr>
          <w:b/>
          <w:bCs/>
          <w:color w:val="474B4F"/>
          <w:sz w:val="27"/>
          <w:szCs w:val="27"/>
          <w:rFonts w:ascii="Vodafone Rg" w:hAnsi="Vodafone Rg" w:hint="cs" w:cs="Arial"/>
          <w:rtl/>
        </w:rPr>
        <w:t xml:space="preserve">صلاحية العرض</w:t>
      </w:r>
    </w:p>
    <w:p w14:paraId="290FE777" w14:textId="77777777" w:rsidR="00A57884" w:rsidRPr="00A57884" w:rsidRDefault="00A57884" w:rsidP="00A57884">
      <w:pPr>
        <w:numPr>
          <w:ilvl w:val="1"/>
          <w:numId w:val="2"/>
        </w:numPr>
        <w:shd w:val="clear" w:color="auto" w:fill="FFFFFF"/>
        <w:spacing w:before="100" w:beforeAutospacing="1"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تكون العروض صالحةً بدءاً من </w:t>
      </w:r>
      <w:r>
        <w:rPr>
          <w:color w:val="70767A"/>
          <w:sz w:val="24"/>
          <w:szCs w:val="24"/>
          <w:rFonts w:ascii="Vodafone Rg" w:hAnsi="Vodafone Rg" w:hint="cs" w:cs="Arial"/>
          <w:rtl/>
        </w:rPr>
        <w:t xml:space="preserve">2 يناير حتى </w:t>
      </w:r>
      <w:r>
        <w:rPr>
          <w:color w:val="70767A"/>
          <w:sz w:val="24"/>
          <w:szCs w:val="24"/>
          <w:rFonts w:ascii="Vodafone Rg" w:hAnsi="Vodafone Rg" w:hint="cs" w:cs="Arial"/>
          <w:rtl/>
        </w:rPr>
        <w:t xml:space="preserve">30 ديسمبر من العام المذكور في العرض، ما لم يُحدد خلاف ذلك.</w:t>
      </w:r>
    </w:p>
    <w:p w14:paraId="622F785A"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 الاستفادة من العروض  فقط لدى المحل التجاري/الموقع المقدم للعرض.</w:t>
      </w:r>
    </w:p>
    <w:p w14:paraId="5228F068"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تنطبق العروض فقط على البنود / الخدمات والموقع (المواقع) المحددة ضمنه.</w:t>
      </w:r>
    </w:p>
    <w:p w14:paraId="079BAC36"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تكون العروض حصرية وتُعتبر غير صالحة في حال اقترنت بأي خصومات أو عمليات ترويج أو عروض مميزة أخرى أو ببرامج عروض المطاعم / الولاء / الموظفين / الجوائز.</w:t>
      </w:r>
    </w:p>
    <w:p w14:paraId="7A2A52B4"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لا تنطبق على العروض أي رسوم خدمة أو ضرائب إضافية.</w:t>
      </w:r>
    </w:p>
    <w:p w14:paraId="44B3C158"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تكون العروض صالحة طيلة أيام الأسبوع، ما لم يتم تحديد مدة أخرى ضمن العرض أو استثناء أيام محددة.</w:t>
      </w:r>
    </w:p>
    <w:p w14:paraId="3F0D33D8" w14:textId="04669D15"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في حال رفض المحل التجاري أو الموقع المقدّم للعرض قسيمة العرض التي قدمتها، يرجى الاتصال بنا على الرقم </w:t>
      </w:r>
      <w:r>
        <w:rPr>
          <w:color w:val="70767A"/>
          <w:sz w:val="24"/>
          <w:szCs w:val="24"/>
          <w:rFonts w:ascii="Vodafone Rg" w:hAnsi="Vodafone Rg" w:hint="cs" w:cs="Arial"/>
          <w:rtl/>
        </w:rPr>
        <w:t xml:space="preserve">4481 </w:t>
      </w:r>
      <w:r>
        <w:rPr>
          <w:color w:val="70767A"/>
          <w:sz w:val="24"/>
          <w:szCs w:val="24"/>
          <w:rFonts w:ascii="Vodafone Rg" w:hAnsi="Vodafone Rg" w:hint="cs" w:cs="Arial"/>
          <w:rtl/>
        </w:rPr>
        <w:t xml:space="preserve">4276 أو التواصل معنا عبر البريد الإلكتروني التالي </w:t>
      </w:r>
      <w:hyperlink r:id="rId5" w:history="1">
        <w:r>
          <w:rPr>
            <w:rStyle w:val="Hyperlink"/>
            <w:sz w:val="24"/>
            <w:rFonts w:ascii="Vodafone Rg" w:hAnsi="Vodafone Rg" w:cs="Arial"/>
          </w:rPr>
          <w:t xml:space="preserve">customerservice@mybookqatar.com</w:t>
        </w:r>
      </w:hyperlink>
      <w:r>
        <w:rPr>
          <w:color w:val="70767A"/>
          <w:sz w:val="24"/>
          <w:szCs w:val="24"/>
          <w:rFonts w:ascii="Vodafone Rg" w:hAnsi="Vodafone Rg" w:cs="Arial"/>
        </w:rPr>
        <w:t xml:space="preserve">.</w:t>
      </w:r>
      <w:r>
        <w:rPr>
          <w:rFonts w:hint="cs"/>
          <w:rtl/>
        </w:rPr>
        <w:t xml:space="preserve"> </w:t>
      </w:r>
    </w:p>
    <w:p w14:paraId="788ACE5D"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لا يمكن استبدال قسمية العرض بقيمتها النقدية، ما لم يُشترط ذلك بموجب القانون.</w:t>
      </w:r>
    </w:p>
    <w:p w14:paraId="001BD161"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يُمنع تقليد أو إعادة بيع أو القيام بتعديل على أي عرض.</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يُعتبر العرض لاغياً في حال إعادة بيعه لشخص آخر أو مقايضته بعروض أخرى.</w:t>
      </w:r>
    </w:p>
    <w:p w14:paraId="463C3900" w14:textId="77777777" w:rsidR="00A57884" w:rsidRPr="00A57884" w:rsidRDefault="00A57884" w:rsidP="00A57884">
      <w:pPr>
        <w:numPr>
          <w:ilvl w:val="0"/>
          <w:numId w:val="2"/>
        </w:numPr>
        <w:shd w:val="clear" w:color="auto" w:fill="FFFFFF"/>
        <w:spacing w:before="360" w:after="120" w:line="240" w:lineRule="auto"/>
        <w:bidi/>
        <w:rPr>
          <w:color w:val="70767A"/>
          <w:spacing w:val="-8"/>
          <w:kern w:val="0"/>
          <w:sz w:val="24"/>
          <w:szCs w:val="24"/>
          <w14:ligatures w14:val="none"/>
          <w:rFonts w:ascii="Vodafone Rg" w:eastAsia="Times New Roman" w:hAnsi="Vodafone Rg" w:cs="Arial" w:hint="cs"/>
          <w:rtl/>
        </w:rPr>
      </w:pPr>
      <w:r>
        <w:rPr>
          <w:b/>
          <w:bCs/>
          <w:color w:val="474B4F"/>
          <w:sz w:val="27"/>
          <w:szCs w:val="27"/>
          <w:rFonts w:ascii="Vodafone Rg" w:hAnsi="Vodafone Rg" w:hint="cs" w:cs="Arial"/>
          <w:rtl/>
        </w:rPr>
        <w:t xml:space="preserve">كيفية الاستفادة من  قسائم العروض</w:t>
      </w:r>
    </w:p>
    <w:p w14:paraId="0F6388C6" w14:textId="77777777" w:rsidR="00A57884" w:rsidRPr="00A57884" w:rsidRDefault="00A57884" w:rsidP="00A57884">
      <w:pPr>
        <w:shd w:val="clear" w:color="auto" w:fill="FFFFFF"/>
        <w:spacing w:before="120" w:after="120" w:line="240" w:lineRule="auto"/>
        <w:ind w:left="720"/>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يمكنك الاستفادة من قسائم العروض عبر التطبيق الخاص بك وبخطوات بسيطة: </w:t>
      </w:r>
    </w:p>
    <w:p w14:paraId="7882D8A3" w14:textId="77777777" w:rsidR="00A57884" w:rsidRPr="00A57884" w:rsidRDefault="00A57884" w:rsidP="00A57884">
      <w:pPr>
        <w:numPr>
          <w:ilvl w:val="1"/>
          <w:numId w:val="2"/>
        </w:numPr>
        <w:shd w:val="clear" w:color="auto" w:fill="FFFFFF"/>
        <w:spacing w:before="100" w:beforeAutospacing="1"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حدد العرض الذي اخترت الاستفادة منه على التطبيق.</w:t>
      </w:r>
    </w:p>
    <w:p w14:paraId="4EBDD4B5"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قدّم جهازك المحمول مع العرض المختار إلى مقدم الخدمة قبل اصدار الفاتورة.</w:t>
      </w:r>
    </w:p>
    <w:p w14:paraId="63960861"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اطلب منه إدخال الرقم السرّي الخاص به.</w:t>
      </w:r>
    </w:p>
    <w:p w14:paraId="0DCC6F45"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بعد إدخال الرقم السرّي، تُطبق قسيمة العرض ويتم خصم قيمة السلعة أو الخدمة من فاتورتك تلقائياً.</w:t>
      </w:r>
      <w:r>
        <w:rPr>
          <w:color w:val="70767A"/>
          <w:sz w:val="24"/>
          <w:szCs w:val="24"/>
          <w:rFonts w:ascii="Vodafone Rg" w:hAnsi="Vodafone Rg" w:hint="cs" w:cs="Arial"/>
          <w:rtl/>
        </w:rPr>
        <w:br/>
      </w:r>
      <w:r>
        <w:rPr>
          <w:color w:val="70767A"/>
          <w:sz w:val="24"/>
          <w:szCs w:val="24"/>
          <w:rFonts w:ascii="Vodafone Rg" w:hAnsi="Vodafone Rg" w:hint="cs" w:cs="Arial"/>
          <w:rtl/>
        </w:rPr>
        <w:t xml:space="preserve">وللاستفادة من المزيد من العروض، ما عليك سوى تكرار العملية ذاتها.</w:t>
      </w:r>
      <w:r>
        <w:rPr>
          <w:color w:val="70767A"/>
          <w:sz w:val="24"/>
          <w:szCs w:val="24"/>
          <w:rFonts w:ascii="Vodafone Rg" w:hAnsi="Vodafone Rg" w:hint="cs" w:cs="Arial"/>
          <w:rtl/>
        </w:rPr>
        <w:br/>
      </w:r>
      <w:r>
        <w:rPr>
          <w:color w:val="70767A"/>
          <w:sz w:val="24"/>
          <w:szCs w:val="24"/>
          <w:rFonts w:ascii="Vodafone Rg" w:hAnsi="Vodafone Rg" w:hint="cs" w:cs="Arial"/>
          <w:rtl/>
        </w:rPr>
        <w:t xml:space="preserve">يمكن لشخصين الاستفادة من عرض واحد، أو لمجموعة من </w:t>
      </w:r>
      <w:r>
        <w:rPr>
          <w:color w:val="70767A"/>
          <w:sz w:val="24"/>
          <w:szCs w:val="24"/>
          <w:rFonts w:ascii="Vodafone Rg" w:hAnsi="Vodafone Rg" w:hint="cs" w:cs="Arial"/>
          <w:rtl/>
        </w:rPr>
        <w:t xml:space="preserve">8 أشخاص أو أكثر الاستفادة مما يصل إلى </w:t>
      </w:r>
      <w:r>
        <w:rPr>
          <w:color w:val="70767A"/>
          <w:sz w:val="24"/>
          <w:szCs w:val="24"/>
          <w:rFonts w:ascii="Vodafone Rg" w:hAnsi="Vodafone Rg" w:hint="cs" w:cs="Arial"/>
          <w:rtl/>
        </w:rPr>
        <w:t xml:space="preserve">4 عروض لكل زيارة، أو حجز في مكان ما، أو حجز لطاولة في مطعم ما:</w:t>
      </w:r>
    </w:p>
    <w:tbl>
      <w:tblPr>
        <w:tblW w:w="0" w:type="auto"/>
        <w:tblInd w:w="720" w:type="dxa"/>
        <w:tblCellMar>
          <w:top w:w="15" w:type="dxa"/>
          <w:left w:w="15" w:type="dxa"/>
          <w:bottom w:w="15" w:type="dxa"/>
          <w:right w:w="15" w:type="dxa"/>
        </w:tblCellMar>
        <w:tblLook w:val="04A0" w:firstRow="1" w:lastRow="0" w:firstColumn="1" w:lastColumn="0" w:noHBand="0" w:noVBand="1"/>
        <w:bidiVisual/>
      </w:tblPr>
      <w:tblGrid>
        <w:gridCol w:w="1712"/>
        <w:gridCol w:w="866"/>
        <w:gridCol w:w="866"/>
        <w:gridCol w:w="866"/>
        <w:gridCol w:w="866"/>
        <w:gridCol w:w="866"/>
        <w:gridCol w:w="866"/>
        <w:gridCol w:w="866"/>
        <w:gridCol w:w="866"/>
      </w:tblGrid>
      <w:tr w:rsidR="00A57884" w:rsidRPr="00A57884" w14:paraId="4187C050" w14:textId="77777777" w:rsidTr="00A57884">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76D57178"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عدد الأشخاص</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756F0CC4"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2</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4049A4ED"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3</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6448FD53"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4</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5F2B4233"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5</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199791B2"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6</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66BD141B"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7</w:t>
            </w:r>
          </w:p>
        </w:tc>
        <w:tc>
          <w:tcPr>
            <w:tcW w:w="0" w:type="auto"/>
            <w:tcBorders>
              <w:bottom w:val="single" w:sz="6" w:space="0" w:color="auto"/>
              <w:right w:val="single" w:sz="6" w:space="0" w:color="auto"/>
            </w:tcBorders>
            <w:tcMar>
              <w:top w:w="195" w:type="dxa"/>
              <w:left w:w="375" w:type="dxa"/>
              <w:bottom w:w="195" w:type="dxa"/>
              <w:right w:w="375" w:type="dxa"/>
            </w:tcMar>
            <w:vAlign w:val="center"/>
            <w:hideMark/>
          </w:tcPr>
          <w:p w14:paraId="7EB943B8"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8</w:t>
            </w:r>
          </w:p>
        </w:tc>
        <w:tc>
          <w:tcPr>
            <w:tcW w:w="0" w:type="auto"/>
            <w:tcBorders>
              <w:bottom w:val="single" w:sz="6" w:space="0" w:color="auto"/>
              <w:right w:val="nil"/>
            </w:tcBorders>
            <w:tcMar>
              <w:top w:w="195" w:type="dxa"/>
              <w:left w:w="375" w:type="dxa"/>
              <w:bottom w:w="195" w:type="dxa"/>
              <w:right w:w="375" w:type="dxa"/>
            </w:tcMar>
            <w:vAlign w:val="center"/>
            <w:hideMark/>
          </w:tcPr>
          <w:p w14:paraId="2467E9F9"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9</w:t>
            </w:r>
          </w:p>
        </w:tc>
      </w:tr>
      <w:tr w:rsidR="00A57884" w:rsidRPr="00A57884" w14:paraId="701EEBED" w14:textId="77777777" w:rsidTr="00A57884">
        <w:tc>
          <w:tcPr>
            <w:tcW w:w="0" w:type="auto"/>
            <w:tcBorders>
              <w:bottom w:val="nil"/>
              <w:right w:val="single" w:sz="6" w:space="0" w:color="auto"/>
            </w:tcBorders>
            <w:tcMar>
              <w:top w:w="195" w:type="dxa"/>
              <w:left w:w="375" w:type="dxa"/>
              <w:bottom w:w="195" w:type="dxa"/>
              <w:right w:w="375" w:type="dxa"/>
            </w:tcMar>
            <w:vAlign w:val="center"/>
            <w:hideMark/>
          </w:tcPr>
          <w:p w14:paraId="0FE98226"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عدد العروض</w:t>
            </w:r>
          </w:p>
        </w:tc>
        <w:tc>
          <w:tcPr>
            <w:tcW w:w="0" w:type="auto"/>
            <w:tcBorders>
              <w:bottom w:val="nil"/>
              <w:right w:val="single" w:sz="6" w:space="0" w:color="auto"/>
            </w:tcBorders>
            <w:tcMar>
              <w:top w:w="195" w:type="dxa"/>
              <w:left w:w="375" w:type="dxa"/>
              <w:bottom w:w="195" w:type="dxa"/>
              <w:right w:w="375" w:type="dxa"/>
            </w:tcMar>
            <w:vAlign w:val="center"/>
            <w:hideMark/>
          </w:tcPr>
          <w:p w14:paraId="0C32B16B"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1</w:t>
            </w:r>
          </w:p>
        </w:tc>
        <w:tc>
          <w:tcPr>
            <w:tcW w:w="0" w:type="auto"/>
            <w:tcBorders>
              <w:bottom w:val="nil"/>
              <w:right w:val="single" w:sz="6" w:space="0" w:color="auto"/>
            </w:tcBorders>
            <w:tcMar>
              <w:top w:w="195" w:type="dxa"/>
              <w:left w:w="375" w:type="dxa"/>
              <w:bottom w:w="195" w:type="dxa"/>
              <w:right w:w="375" w:type="dxa"/>
            </w:tcMar>
            <w:vAlign w:val="center"/>
            <w:hideMark/>
          </w:tcPr>
          <w:p w14:paraId="0FCCFF89"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1</w:t>
            </w:r>
          </w:p>
        </w:tc>
        <w:tc>
          <w:tcPr>
            <w:tcW w:w="0" w:type="auto"/>
            <w:tcBorders>
              <w:bottom w:val="nil"/>
              <w:right w:val="single" w:sz="6" w:space="0" w:color="auto"/>
            </w:tcBorders>
            <w:tcMar>
              <w:top w:w="195" w:type="dxa"/>
              <w:left w:w="375" w:type="dxa"/>
              <w:bottom w:w="195" w:type="dxa"/>
              <w:right w:w="375" w:type="dxa"/>
            </w:tcMar>
            <w:vAlign w:val="center"/>
            <w:hideMark/>
          </w:tcPr>
          <w:p w14:paraId="4673DDF2"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2</w:t>
            </w:r>
          </w:p>
        </w:tc>
        <w:tc>
          <w:tcPr>
            <w:tcW w:w="0" w:type="auto"/>
            <w:tcBorders>
              <w:bottom w:val="nil"/>
              <w:right w:val="single" w:sz="6" w:space="0" w:color="auto"/>
            </w:tcBorders>
            <w:tcMar>
              <w:top w:w="195" w:type="dxa"/>
              <w:left w:w="375" w:type="dxa"/>
              <w:bottom w:w="195" w:type="dxa"/>
              <w:right w:w="375" w:type="dxa"/>
            </w:tcMar>
            <w:vAlign w:val="center"/>
            <w:hideMark/>
          </w:tcPr>
          <w:p w14:paraId="66166913"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2</w:t>
            </w:r>
          </w:p>
        </w:tc>
        <w:tc>
          <w:tcPr>
            <w:tcW w:w="0" w:type="auto"/>
            <w:tcBorders>
              <w:bottom w:val="nil"/>
              <w:right w:val="single" w:sz="6" w:space="0" w:color="auto"/>
            </w:tcBorders>
            <w:tcMar>
              <w:top w:w="195" w:type="dxa"/>
              <w:left w:w="375" w:type="dxa"/>
              <w:bottom w:w="195" w:type="dxa"/>
              <w:right w:w="375" w:type="dxa"/>
            </w:tcMar>
            <w:vAlign w:val="center"/>
            <w:hideMark/>
          </w:tcPr>
          <w:p w14:paraId="04C9E7C8"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3</w:t>
            </w:r>
          </w:p>
        </w:tc>
        <w:tc>
          <w:tcPr>
            <w:tcW w:w="0" w:type="auto"/>
            <w:tcBorders>
              <w:bottom w:val="nil"/>
              <w:right w:val="single" w:sz="6" w:space="0" w:color="auto"/>
            </w:tcBorders>
            <w:tcMar>
              <w:top w:w="195" w:type="dxa"/>
              <w:left w:w="375" w:type="dxa"/>
              <w:bottom w:w="195" w:type="dxa"/>
              <w:right w:w="375" w:type="dxa"/>
            </w:tcMar>
            <w:vAlign w:val="center"/>
            <w:hideMark/>
          </w:tcPr>
          <w:p w14:paraId="50CD8A05"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3</w:t>
            </w:r>
          </w:p>
        </w:tc>
        <w:tc>
          <w:tcPr>
            <w:tcW w:w="0" w:type="auto"/>
            <w:tcBorders>
              <w:bottom w:val="nil"/>
              <w:right w:val="single" w:sz="6" w:space="0" w:color="auto"/>
            </w:tcBorders>
            <w:tcMar>
              <w:top w:w="195" w:type="dxa"/>
              <w:left w:w="375" w:type="dxa"/>
              <w:bottom w:w="195" w:type="dxa"/>
              <w:right w:w="375" w:type="dxa"/>
            </w:tcMar>
            <w:vAlign w:val="center"/>
            <w:hideMark/>
          </w:tcPr>
          <w:p w14:paraId="7834BBA7"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4</w:t>
            </w:r>
          </w:p>
        </w:tc>
        <w:tc>
          <w:tcPr>
            <w:tcW w:w="0" w:type="auto"/>
            <w:tcBorders>
              <w:bottom w:val="nil"/>
              <w:right w:val="nil"/>
            </w:tcBorders>
            <w:tcMar>
              <w:top w:w="195" w:type="dxa"/>
              <w:left w:w="375" w:type="dxa"/>
              <w:bottom w:w="195" w:type="dxa"/>
              <w:right w:w="375" w:type="dxa"/>
            </w:tcMar>
            <w:vAlign w:val="center"/>
            <w:hideMark/>
          </w:tcPr>
          <w:p w14:paraId="1A0FEDB5" w14:textId="77777777" w:rsidR="00A57884" w:rsidRPr="00A57884" w:rsidRDefault="00A57884" w:rsidP="00A57884">
            <w:pPr>
              <w:spacing w:before="300" w:after="30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4</w:t>
            </w:r>
          </w:p>
        </w:tc>
      </w:tr>
    </w:tbl>
    <w:p w14:paraId="1223C019" w14:textId="008D44C5" w:rsidR="003176F3" w:rsidRPr="003176F3" w:rsidRDefault="003176F3" w:rsidP="00A57884">
      <w:pPr>
        <w:shd w:val="clear" w:color="auto" w:fill="FFFFFF"/>
        <w:spacing w:after="120" w:line="240" w:lineRule="auto"/>
        <w:ind w:left="720"/>
        <w:bidi/>
        <w:rPr>
          <w:i/>
          <w:iCs/>
          <w:color w:val="70767A"/>
          <w:spacing w:val="-8"/>
          <w:kern w:val="0"/>
          <w:sz w:val="24"/>
          <w:szCs w:val="24"/>
          <w14:ligatures w14:val="none"/>
          <w:rFonts w:ascii="Vodafone Rg" w:eastAsia="Times New Roman" w:hAnsi="Vodafone Rg" w:cs="Arial" w:hint="cs"/>
          <w:rtl/>
        </w:rPr>
      </w:pPr>
      <w:r>
        <w:rPr>
          <w:i/>
          <w:iCs/>
          <w:color w:val="70767A"/>
          <w:sz w:val="24"/>
          <w:szCs w:val="24"/>
          <w:rFonts w:ascii="Vodafone Rg" w:hAnsi="Vodafone Rg" w:hint="cs" w:cs="Arial"/>
          <w:rtl/>
        </w:rPr>
        <w:t xml:space="preserve">الجدول </w:t>
      </w:r>
      <w:r>
        <w:rPr>
          <w:i/>
          <w:iCs/>
          <w:color w:val="70767A"/>
          <w:sz w:val="24"/>
          <w:szCs w:val="24"/>
          <w:rFonts w:ascii="Vodafone Rg" w:hAnsi="Vodafone Rg" w:hint="cs" w:cs="Arial"/>
          <w:rtl/>
        </w:rPr>
        <w:t xml:space="preserve">1</w:t>
      </w:r>
    </w:p>
    <w:p w14:paraId="6D4DE59F" w14:textId="097CC1CE" w:rsidR="00A57884" w:rsidRPr="00A57884" w:rsidRDefault="00A57884" w:rsidP="00A57884">
      <w:pPr>
        <w:shd w:val="clear" w:color="auto" w:fill="FFFFFF"/>
        <w:spacing w:after="120" w:line="240" w:lineRule="auto"/>
        <w:ind w:left="720"/>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في حال حدوث خلاف، يتم تسديد الفاتورة وفقاً لأحكام القانون المحلي،</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وسيتم الاتصال بالأطراف ذات الصلة للوصول إلى حل مشترك.</w:t>
      </w:r>
    </w:p>
    <w:p w14:paraId="606EEEC9" w14:textId="77777777" w:rsidR="00A57884" w:rsidRPr="00A57884" w:rsidRDefault="00A57884" w:rsidP="00A57884">
      <w:pPr>
        <w:numPr>
          <w:ilvl w:val="0"/>
          <w:numId w:val="2"/>
        </w:numPr>
        <w:shd w:val="clear" w:color="auto" w:fill="FFFFFF"/>
        <w:spacing w:before="360" w:after="120" w:line="240" w:lineRule="auto"/>
        <w:bidi/>
        <w:rPr>
          <w:color w:val="70767A"/>
          <w:spacing w:val="-8"/>
          <w:kern w:val="0"/>
          <w:sz w:val="24"/>
          <w:szCs w:val="24"/>
          <w14:ligatures w14:val="none"/>
          <w:rFonts w:ascii="Vodafone Rg" w:eastAsia="Times New Roman" w:hAnsi="Vodafone Rg" w:cs="Arial" w:hint="cs"/>
          <w:rtl/>
        </w:rPr>
      </w:pPr>
      <w:r>
        <w:rPr>
          <w:b/>
          <w:bCs/>
          <w:color w:val="474B4F"/>
          <w:sz w:val="27"/>
          <w:szCs w:val="27"/>
          <w:rFonts w:ascii="Vodafone Rg" w:hAnsi="Vodafone Rg" w:hint="cs" w:cs="Arial"/>
          <w:rtl/>
        </w:rPr>
        <w:t xml:space="preserve">عروض المأكولات والمشروب</w:t>
      </w:r>
    </w:p>
    <w:p w14:paraId="1ACB6FC3" w14:textId="77777777" w:rsidR="00A57884" w:rsidRPr="00A57884" w:rsidRDefault="00A57884" w:rsidP="00A57884">
      <w:pPr>
        <w:numPr>
          <w:ilvl w:val="1"/>
          <w:numId w:val="2"/>
        </w:numPr>
        <w:shd w:val="clear" w:color="auto" w:fill="FFFFFF"/>
        <w:spacing w:before="100" w:beforeAutospacing="1"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 لشخصين الاستفادة من عرض واحد، أو لمجموعة من </w:t>
      </w:r>
      <w:r>
        <w:rPr>
          <w:color w:val="70767A"/>
          <w:sz w:val="24"/>
          <w:szCs w:val="24"/>
          <w:rFonts w:ascii="Vodafone Rg" w:hAnsi="Vodafone Rg" w:hint="cs" w:cs="Arial"/>
          <w:rtl/>
        </w:rPr>
        <w:t xml:space="preserve">8 أشخاص أو أكثر الاستفادة مما يصل إلى </w:t>
      </w:r>
      <w:r>
        <w:rPr>
          <w:color w:val="70767A"/>
          <w:sz w:val="24"/>
          <w:szCs w:val="24"/>
          <w:rFonts w:ascii="Vodafone Rg" w:hAnsi="Vodafone Rg" w:hint="cs" w:cs="Arial"/>
          <w:rtl/>
        </w:rPr>
        <w:t xml:space="preserve">4 عروض لكل حجز لطاولة في مطعم ما: (يرجى الاطلاع على</w:t>
      </w:r>
      <w:bookmarkStart w:id="0" w:name="_Hlk153892414"/>
      <w:r>
        <w:rPr>
          <w:color w:val="70767A"/>
          <w:sz w:val="24"/>
          <w:szCs w:val="24"/>
          <w:rFonts w:ascii="Vodafone Rg" w:hAnsi="Vodafone Rg" w:hint="cs" w:cs="Arial"/>
          <w:rtl/>
        </w:rPr>
        <w:t xml:space="preserve">الجدول </w:t>
      </w:r>
      <w:r>
        <w:rPr>
          <w:color w:val="70767A"/>
          <w:sz w:val="24"/>
          <w:szCs w:val="24"/>
          <w:rFonts w:ascii="Vodafone Rg" w:hAnsi="Vodafone Rg" w:hint="cs" w:cs="Arial"/>
          <w:rtl/>
        </w:rPr>
        <w:t xml:space="preserve">1</w:t>
      </w:r>
      <w:bookmarkEnd w:id="0"/>
      <w:r>
        <w:rPr>
          <w:color w:val="70767A"/>
          <w:sz w:val="24"/>
          <w:szCs w:val="24"/>
          <w:rFonts w:ascii="Vodafone Rg" w:hAnsi="Vodafone Rg" w:hint="cs" w:cs="Arial"/>
          <w:rtl/>
        </w:rPr>
        <w:t xml:space="preserve">).</w:t>
      </w:r>
    </w:p>
    <w:p w14:paraId="098B3E0C"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بإمكان البالغين فقط الاستفادة من العروض المقدمة، </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ويحدد المحل التجاري، وفقاً لتقديره الخاص، إمكانية استفادة الأطفال من أي عروض مقدمة.</w:t>
      </w:r>
    </w:p>
    <w:p w14:paraId="3DD7FA4C"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يتم خصم السلعة الأقل كلفة (كما هو وارد في العرض).</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يجب أن يكون البندين من الفئة نفسها كما هو مذكور في العرض، على سبيل المثال: اشتر "طبقاً رئيسياً" واحداً واحصل على "طبق رئيسي آخر" مجاناً، أو اشتر "غداء سوشي" واحداً واحصل على "غداء سوشي آخر" مجاناً.</w:t>
      </w:r>
    </w:p>
    <w:p w14:paraId="21AA0855"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يتم إصدار فاتورة واحدة لكل طاولة </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ويُمنع تقسيمها على عدة أشخاص.</w:t>
      </w:r>
    </w:p>
    <w:p w14:paraId="130E6CBD"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تكون العروض صالحة حصرياً على البنود المدرجة وهي غير صالحة للمناسبات الخاصة (على سبيل المثال، الافطار، السحور، البوفيه، البرانش، السهرات ذات الطابع الخاص، قوائم الطعام الخاصة)، ما لم يُحدد في العرض خلاف ذلك.</w:t>
      </w:r>
    </w:p>
    <w:p w14:paraId="2B6E498E"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لا يمكن الاستفادة من قسيمة العروض على وجبة الفطور أو المقبلات أو الأطباق الجانبية أو الحلويات أو الأطباق المشتركة - ما لم يُحدد في العرض خلاف ذلك.</w:t>
      </w:r>
    </w:p>
    <w:p w14:paraId="41089D95"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إن العروض غير صالحة لخدمة التوصيل أو الطلب للخارج، ما لم يُحدد في العرض خلاف ذلك.</w:t>
      </w:r>
    </w:p>
    <w:p w14:paraId="02924489"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لا تنطبق الخصومات على تكاليف الخدمة.</w:t>
      </w:r>
    </w:p>
    <w:p w14:paraId="405BE25C" w14:textId="0C77B065"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يتم تحديد الطبق الرئيسي أو أي طبق من قائمة الطعام على انه العنصر الأساسي في وجبة غداء العميل أوعشائه- أي ليس أطباق المقبلات أو الحلويات.</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لن تقوم </w:t>
      </w:r>
      <w:r>
        <w:rPr>
          <w:color w:val="70767A"/>
          <w:sz w:val="24"/>
          <w:szCs w:val="24"/>
          <w:rFonts w:ascii="Vodafone Rg" w:hAnsi="Vodafone Rg" w:cs="Arial"/>
        </w:rPr>
        <w:t xml:space="preserve">Vodafone My Book</w:t>
      </w:r>
      <w:r>
        <w:rPr>
          <w:color w:val="70767A"/>
          <w:sz w:val="24"/>
          <w:szCs w:val="24"/>
          <w:rFonts w:ascii="Vodafone Rg" w:hAnsi="Vodafone Rg" w:hint="cs" w:cs="Arial"/>
          <w:rtl/>
        </w:rPr>
        <w:t xml:space="preserve"> بتحديد شكل أو تصميم قائمة المحل التجاري.</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في حال كان لديك أي استفسار، يرجى الحصول على التوضيحات قبل الطلب.</w:t>
      </w:r>
    </w:p>
    <w:p w14:paraId="2007ABCF" w14:textId="77777777" w:rsidR="00A57884" w:rsidRPr="00A57884" w:rsidRDefault="00A57884" w:rsidP="00A57884">
      <w:pPr>
        <w:numPr>
          <w:ilvl w:val="0"/>
          <w:numId w:val="2"/>
        </w:numPr>
        <w:shd w:val="clear" w:color="auto" w:fill="FFFFFF"/>
        <w:spacing w:before="360" w:after="120" w:line="240" w:lineRule="auto"/>
        <w:bidi/>
        <w:rPr>
          <w:color w:val="70767A"/>
          <w:spacing w:val="-8"/>
          <w:kern w:val="0"/>
          <w:sz w:val="24"/>
          <w:szCs w:val="24"/>
          <w14:ligatures w14:val="none"/>
          <w:rFonts w:ascii="Vodafone Rg" w:eastAsia="Times New Roman" w:hAnsi="Vodafone Rg" w:cs="Arial" w:hint="cs"/>
          <w:rtl/>
        </w:rPr>
      </w:pPr>
      <w:r>
        <w:rPr>
          <w:b/>
          <w:bCs/>
          <w:color w:val="474B4F"/>
          <w:sz w:val="27"/>
          <w:szCs w:val="27"/>
          <w:rFonts w:ascii="Vodafone Rg" w:hAnsi="Vodafone Rg" w:hint="cs" w:cs="Arial"/>
          <w:rtl/>
        </w:rPr>
        <w:t xml:space="preserve">عروض الأماكن الحيوية والتسلية</w:t>
      </w:r>
    </w:p>
    <w:p w14:paraId="6156DA25" w14:textId="77777777" w:rsidR="00A57884" w:rsidRPr="00A57884" w:rsidRDefault="00A57884" w:rsidP="00A57884">
      <w:pPr>
        <w:numPr>
          <w:ilvl w:val="1"/>
          <w:numId w:val="2"/>
        </w:numPr>
        <w:shd w:val="clear" w:color="auto" w:fill="FFFFFF"/>
        <w:spacing w:before="100" w:beforeAutospacing="1"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 لشخصين على الأقل الاستفادة من قسمية العرض هذهه- ما لم ينص على خلاف ذلك.</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يمكن لمجموعة من </w:t>
      </w:r>
      <w:r>
        <w:rPr>
          <w:color w:val="70767A"/>
          <w:sz w:val="24"/>
          <w:szCs w:val="24"/>
          <w:rFonts w:ascii="Vodafone Rg" w:hAnsi="Vodafone Rg" w:hint="cs" w:cs="Arial"/>
          <w:rtl/>
        </w:rPr>
        <w:t xml:space="preserve">8 أشخاص أو أكثر الاستفادة من </w:t>
      </w:r>
      <w:r>
        <w:rPr>
          <w:color w:val="70767A"/>
          <w:sz w:val="24"/>
          <w:szCs w:val="24"/>
          <w:rFonts w:ascii="Vodafone Rg" w:hAnsi="Vodafone Rg" w:hint="cs" w:cs="Arial"/>
          <w:rtl/>
        </w:rPr>
        <w:t xml:space="preserve">4 عروض كحد أقصى لكل حجز في مكان ما / زيارة (يرجى الاطلاع على الجدول </w:t>
      </w:r>
      <w:r>
        <w:rPr>
          <w:color w:val="70767A"/>
          <w:sz w:val="24"/>
          <w:szCs w:val="24"/>
          <w:rFonts w:ascii="Vodafone Rg" w:hAnsi="Vodafone Rg" w:hint="cs" w:cs="Arial"/>
          <w:rtl/>
        </w:rPr>
        <w:t xml:space="preserve">1).</w:t>
      </w:r>
    </w:p>
    <w:p w14:paraId="5BFBB540"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 أن تختلف الشروط والأحكام في باختلاف النشاطات، لذا يرجى التواصل مع المحل التجاري/المنفذ المقدم للعرض للتأكد من عدد الأشخاص المسموح لهم الاستفادة، القيود العمرية المحددة وإرشادات السلامة وغيرها من الشروط.</w:t>
      </w:r>
    </w:p>
    <w:p w14:paraId="62654319" w14:textId="77777777" w:rsidR="00A57884" w:rsidRPr="00A57884" w:rsidRDefault="00A57884" w:rsidP="00A57884">
      <w:pPr>
        <w:shd w:val="clear" w:color="auto" w:fill="FFFFFF"/>
        <w:spacing w:after="120" w:line="240" w:lineRule="auto"/>
        <w:ind w:left="720"/>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قد يكون الحجز المسبق مطلوباً لبعض العروض و/أو النشاطات حسب اختلافها.</w:t>
      </w:r>
    </w:p>
    <w:p w14:paraId="61CBF0AB" w14:textId="77777777" w:rsidR="00A57884" w:rsidRPr="00A57884" w:rsidRDefault="00A57884" w:rsidP="00A57884">
      <w:pPr>
        <w:numPr>
          <w:ilvl w:val="0"/>
          <w:numId w:val="2"/>
        </w:numPr>
        <w:shd w:val="clear" w:color="auto" w:fill="FFFFFF"/>
        <w:spacing w:before="360" w:after="120" w:line="240" w:lineRule="auto"/>
        <w:bidi/>
        <w:rPr>
          <w:color w:val="70767A"/>
          <w:spacing w:val="-8"/>
          <w:kern w:val="0"/>
          <w:sz w:val="24"/>
          <w:szCs w:val="24"/>
          <w14:ligatures w14:val="none"/>
          <w:rFonts w:ascii="Vodafone Rg" w:eastAsia="Times New Roman" w:hAnsi="Vodafone Rg" w:cs="Arial" w:hint="cs"/>
          <w:rtl/>
        </w:rPr>
      </w:pPr>
      <w:r>
        <w:rPr>
          <w:b/>
          <w:bCs/>
          <w:color w:val="474B4F"/>
          <w:sz w:val="27"/>
          <w:szCs w:val="27"/>
          <w:rFonts w:ascii="Vodafone Rg" w:hAnsi="Vodafone Rg" w:hint="cs" w:cs="Arial"/>
          <w:rtl/>
        </w:rPr>
        <w:t xml:space="preserve">العروض على خدمات التجميل والمنتجعات والخدمات الصحية واللياقة البدنية </w:t>
      </w:r>
    </w:p>
    <w:p w14:paraId="67DCC11C" w14:textId="77777777" w:rsidR="00A57884" w:rsidRPr="00A57884" w:rsidRDefault="00A57884" w:rsidP="00A57884">
      <w:pPr>
        <w:numPr>
          <w:ilvl w:val="1"/>
          <w:numId w:val="2"/>
        </w:numPr>
        <w:shd w:val="clear" w:color="auto" w:fill="FFFFFF"/>
        <w:spacing w:before="100" w:beforeAutospacing="1"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 الاستفادة من العروض على خدمات الجمال والاستجمام والعروض المتعلقة بالصحة واللياقة من خلال اتباع طريقتين:</w:t>
      </w:r>
    </w:p>
    <w:p w14:paraId="1AE94C14" w14:textId="77777777" w:rsidR="00A57884" w:rsidRPr="00A57884" w:rsidRDefault="00A57884" w:rsidP="00A57884">
      <w:pPr>
        <w:numPr>
          <w:ilvl w:val="2"/>
          <w:numId w:val="2"/>
        </w:numPr>
        <w:shd w:val="clear" w:color="auto" w:fill="FFFFFF"/>
        <w:spacing w:before="100" w:beforeAutospacing="1"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 لشخصين الاستفادة من عرض واحد خلال الزيارة الواحدة، حيث يتم اعتبار العلاج / الخدمة الثانية المقدّمة للشخص الآخر مجانية.</w:t>
      </w:r>
    </w:p>
    <w:p w14:paraId="03186D3E" w14:textId="77777777" w:rsidR="00A57884" w:rsidRPr="00A57884" w:rsidRDefault="00A57884" w:rsidP="00A57884">
      <w:pPr>
        <w:numPr>
          <w:ilvl w:val="2"/>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 لشخص واحد استخدام حيث تقوم بتسديد السعر كاملاً للعلاج/ الخدمة الأولى، ويُعتبر العلاج / الخدمة الثانية في زيارتك المقبلة مجانية.</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يجب الحصول على العلاج / الخدمة المجانية خلال فترة صلاحية العرض.</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يرجى أخذ العلم أنه لا يمكن إصدار قسيمة هدية للعلاج / الخدمة المجانية.</w:t>
      </w:r>
    </w:p>
    <w:p w14:paraId="5B238C0F"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يرجى تقديم قسيمة العرض عند الانتهاء من العلاج / الخدمة قبل طلب الفاتورة.</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في حال كان العرض يتعلق بالصحة واللياقة، يرجى تقديمه قبل البدء بأي صف أو نشاط.</w:t>
      </w:r>
    </w:p>
    <w:p w14:paraId="7DC0FF8D" w14:textId="77777777" w:rsidR="00A57884" w:rsidRPr="00A57884" w:rsidRDefault="00A57884" w:rsidP="00A57884">
      <w:pPr>
        <w:numPr>
          <w:ilvl w:val="0"/>
          <w:numId w:val="2"/>
        </w:numPr>
        <w:shd w:val="clear" w:color="auto" w:fill="FFFFFF"/>
        <w:spacing w:before="360" w:after="120" w:line="240" w:lineRule="auto"/>
        <w:bidi/>
        <w:rPr>
          <w:color w:val="70767A"/>
          <w:spacing w:val="-8"/>
          <w:kern w:val="0"/>
          <w:sz w:val="24"/>
          <w:szCs w:val="24"/>
          <w14:ligatures w14:val="none"/>
          <w:rFonts w:ascii="Vodafone Rg" w:eastAsia="Times New Roman" w:hAnsi="Vodafone Rg" w:cs="Arial" w:hint="cs"/>
          <w:rtl/>
        </w:rPr>
      </w:pPr>
      <w:r>
        <w:rPr>
          <w:b/>
          <w:bCs/>
          <w:color w:val="474B4F"/>
          <w:sz w:val="27"/>
          <w:szCs w:val="27"/>
          <w:rFonts w:ascii="Vodafone Rg" w:hAnsi="Vodafone Rg" w:hint="cs" w:cs="Arial"/>
          <w:rtl/>
        </w:rPr>
        <w:t xml:space="preserve">العروض على الخدمات</w:t>
      </w:r>
    </w:p>
    <w:p w14:paraId="7018CED6" w14:textId="77777777" w:rsidR="00A57884" w:rsidRPr="00A57884" w:rsidRDefault="00A57884" w:rsidP="00A57884">
      <w:pPr>
        <w:numPr>
          <w:ilvl w:val="1"/>
          <w:numId w:val="2"/>
        </w:numPr>
        <w:shd w:val="clear" w:color="auto" w:fill="FFFFFF"/>
        <w:spacing w:before="100" w:beforeAutospacing="1"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 لشخص واحد فقط الاستفادة من عروض متاجر التجزئة والخدمات والتي تبدأ بعبارة "تدعوك ..." (بدلاً من "أنت وضيفك مدعوان ...").</w:t>
      </w:r>
    </w:p>
    <w:p w14:paraId="02C3E972"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عندما الاستفادة من أي عرض من عروض متاجر التجزئة والخدمات بشكل فردي، تقوم بدفع السعر الكامل للخدمة الأولى وتكون خدمتك الثانية مجانية.</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يمكن الاستفادة من الخدمة الثانية المجانية طوال فترة صلاحية العرض.</w:t>
      </w:r>
    </w:p>
    <w:p w14:paraId="30DF7E13" w14:textId="77777777" w:rsidR="00A57884" w:rsidRPr="00A57884" w:rsidRDefault="00A57884" w:rsidP="00A57884">
      <w:pPr>
        <w:numPr>
          <w:ilvl w:val="0"/>
          <w:numId w:val="2"/>
        </w:numPr>
        <w:shd w:val="clear" w:color="auto" w:fill="FFFFFF"/>
        <w:spacing w:before="360" w:after="120" w:line="240" w:lineRule="auto"/>
        <w:bidi/>
        <w:rPr>
          <w:color w:val="70767A"/>
          <w:spacing w:val="-8"/>
          <w:kern w:val="0"/>
          <w:sz w:val="24"/>
          <w:szCs w:val="24"/>
          <w14:ligatures w14:val="none"/>
          <w:rFonts w:ascii="Vodafone Rg" w:eastAsia="Times New Roman" w:hAnsi="Vodafone Rg" w:cs="Arial" w:hint="cs"/>
          <w:rtl/>
        </w:rPr>
      </w:pPr>
      <w:r>
        <w:rPr>
          <w:b/>
          <w:bCs/>
          <w:color w:val="474B4F"/>
          <w:sz w:val="27"/>
          <w:szCs w:val="27"/>
          <w:rFonts w:ascii="Vodafone Rg" w:hAnsi="Vodafone Rg" w:hint="cs" w:cs="Arial"/>
          <w:rtl/>
        </w:rPr>
        <w:t xml:space="preserve">العروض على الإجازات المحلية/القسائم الفندقية</w:t>
      </w:r>
    </w:p>
    <w:p w14:paraId="08F47992" w14:textId="77777777" w:rsidR="00A57884" w:rsidRPr="00A57884" w:rsidRDefault="00A57884" w:rsidP="00A57884">
      <w:pPr>
        <w:numPr>
          <w:ilvl w:val="1"/>
          <w:numId w:val="2"/>
        </w:numPr>
        <w:shd w:val="clear" w:color="auto" w:fill="FFFFFF"/>
        <w:spacing w:before="100" w:beforeAutospacing="1"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توفر لك  قسيمة الفندق ليلة مجانية عند شراء ليلة واحدة بقيمة مساوية أو أعلى.</w:t>
      </w:r>
    </w:p>
    <w:p w14:paraId="25E89847"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توفر لك قسيمة الفندق خصماً على السعر الأساسي للغرفة وهو السعر الذي تحصل عليه من موظفي الفندق مباشرةً.</w:t>
      </w:r>
    </w:p>
    <w:p w14:paraId="6726A525"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 استخدام قسيمة الفندق لمدة ليلتين متتاليتين على الأقل.</w:t>
      </w:r>
    </w:p>
    <w:p w14:paraId="509A75F9"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تكون القسيمة الفندقية صالحة فقط للغرفة ولا تتضمن وجبة الفطور ما لم تنص القسيمة على خلافه.</w:t>
      </w:r>
    </w:p>
    <w:p w14:paraId="50ACC31F"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يجب القيام بحجز مسبق مباشرة مع موظفي الفندق للتمكن من الاستفادة من القسيمة الفندقية.</w:t>
      </w:r>
    </w:p>
    <w:p w14:paraId="0EC66B29"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تخضع الاستفادة من القسيمة الفندقية لتوافر الغرف المدرجة ضمن العرض في الفندق ذي الصلة.</w:t>
      </w:r>
    </w:p>
    <w:p w14:paraId="6D09B0C6"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لا يمكن الاستفادة من القسيمة الفندقية في حال القيام بالحجز عبر الانترنت من خلال موقع الفندق الإلكتروني أو أي مواقع إلكترونية تابعة لجهات ثالثة.</w:t>
      </w:r>
    </w:p>
    <w:p w14:paraId="27CF9491" w14:textId="77777777" w:rsidR="00A57884" w:rsidRPr="00A57884" w:rsidRDefault="00A57884" w:rsidP="00A57884">
      <w:pPr>
        <w:numPr>
          <w:ilvl w:val="0"/>
          <w:numId w:val="2"/>
        </w:numPr>
        <w:shd w:val="clear" w:color="auto" w:fill="FFFFFF"/>
        <w:spacing w:before="360" w:after="120" w:line="240" w:lineRule="auto"/>
        <w:bidi/>
        <w:rPr>
          <w:color w:val="70767A"/>
          <w:spacing w:val="-8"/>
          <w:kern w:val="0"/>
          <w:sz w:val="24"/>
          <w:szCs w:val="24"/>
          <w14:ligatures w14:val="none"/>
          <w:rFonts w:ascii="Vodafone Rg" w:eastAsia="Times New Roman" w:hAnsi="Vodafone Rg" w:cs="Arial" w:hint="cs"/>
          <w:rtl/>
        </w:rPr>
      </w:pPr>
      <w:r>
        <w:rPr>
          <w:b/>
          <w:bCs/>
          <w:color w:val="474B4F"/>
          <w:sz w:val="27"/>
          <w:szCs w:val="27"/>
          <w:rFonts w:ascii="Vodafone Rg" w:hAnsi="Vodafone Rg" w:hint="cs" w:cs="Arial"/>
          <w:rtl/>
        </w:rPr>
        <w:t xml:space="preserve">العروض الخاصة</w:t>
      </w:r>
    </w:p>
    <w:p w14:paraId="6183433C" w14:textId="44D78D6A" w:rsidR="00A57884" w:rsidRPr="00A57884" w:rsidRDefault="00A57884" w:rsidP="00A57884">
      <w:pPr>
        <w:numPr>
          <w:ilvl w:val="1"/>
          <w:numId w:val="2"/>
        </w:numPr>
        <w:shd w:val="clear" w:color="auto" w:fill="FFFFFF"/>
        <w:spacing w:before="100" w:beforeAutospacing="1"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تتوفر عروض خاصة لأعضاء </w:t>
      </w:r>
      <w:r>
        <w:rPr>
          <w:color w:val="70767A"/>
          <w:sz w:val="24"/>
          <w:szCs w:val="24"/>
          <w:rFonts w:ascii="Vodafone Rg" w:hAnsi="Vodafone Rg" w:cs="Arial"/>
        </w:rPr>
        <w:t xml:space="preserve">Vodafone My Book</w:t>
      </w:r>
      <w:r>
        <w:rPr>
          <w:color w:val="70767A"/>
          <w:sz w:val="24"/>
          <w:szCs w:val="24"/>
          <w:rFonts w:ascii="Vodafone Rg" w:hAnsi="Vodafone Rg" w:hint="cs" w:cs="Arial"/>
          <w:rtl/>
        </w:rPr>
        <w:t xml:space="preserve"> الذين قاموا بشراء منتج مطبوع أو رقمي - وتكون العروض الخاصة المتاحة مرتبطة بالمنتج الرقمي الذي اشتريته.</w:t>
      </w:r>
    </w:p>
    <w:p w14:paraId="03B7365C"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تختلف صلاحيات العروض الخاصة وغالبًا ما تكون لعناصر وخدمات مختلفة عن العروض الرئيسية.</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يتم دائماً تحديد فترة صلاحية العرض، ولكن نحتفظ بالحق في إلغاء العروض الخاصة في أي وقت، دون أن نتحمّل مسؤولية توقف أي عرض شهري قبل تاريخ انتهاء فترة صلاحيته.</w:t>
      </w:r>
    </w:p>
    <w:p w14:paraId="26AD0791"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لا تُستنفد العروض الخاصة بعد الاستخدام ويمكن إستعمالها لمرات متعددة طوال فترة صلاحيتها، إلا أن سقف الاستخدام هو </w:t>
      </w:r>
      <w:r>
        <w:rPr>
          <w:color w:val="70767A"/>
          <w:sz w:val="24"/>
          <w:szCs w:val="24"/>
          <w:rFonts w:ascii="Vodafone Rg" w:hAnsi="Vodafone Rg" w:hint="cs" w:cs="Arial"/>
          <w:rtl/>
        </w:rPr>
        <w:t xml:space="preserve">4 مرات لكل حساب في المحل التجاري المحدد خلال اليوم الواحد.</w:t>
      </w:r>
    </w:p>
    <w:p w14:paraId="57081C97"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تخضع العروض الخاصة لقواعد الإستخدام المعروفة.</w:t>
      </w:r>
    </w:p>
    <w:p w14:paraId="6D3DC1AB" w14:textId="77777777" w:rsidR="00A57884" w:rsidRPr="00A57884" w:rsidRDefault="00A57884" w:rsidP="00A57884">
      <w:pPr>
        <w:numPr>
          <w:ilvl w:val="0"/>
          <w:numId w:val="2"/>
        </w:numPr>
        <w:shd w:val="clear" w:color="auto" w:fill="FFFFFF"/>
        <w:spacing w:before="360" w:after="120" w:line="240" w:lineRule="auto"/>
        <w:bidi/>
        <w:rPr>
          <w:color w:val="70767A"/>
          <w:spacing w:val="-8"/>
          <w:kern w:val="0"/>
          <w:sz w:val="24"/>
          <w:szCs w:val="24"/>
          <w14:ligatures w14:val="none"/>
          <w:rFonts w:ascii="Vodafone Rg" w:eastAsia="Times New Roman" w:hAnsi="Vodafone Rg" w:cs="Arial" w:hint="cs"/>
          <w:rtl/>
        </w:rPr>
      </w:pPr>
      <w:r>
        <w:rPr>
          <w:b/>
          <w:bCs/>
          <w:color w:val="474B4F"/>
          <w:sz w:val="27"/>
          <w:szCs w:val="27"/>
          <w:rFonts w:ascii="Vodafone Rg" w:hAnsi="Vodafone Rg" w:hint="cs" w:cs="Arial"/>
          <w:rtl/>
        </w:rPr>
        <w:t xml:space="preserve">العروض الجديدة</w:t>
      </w:r>
    </w:p>
    <w:p w14:paraId="753B9DC7" w14:textId="21B4EF85" w:rsidR="00A57884" w:rsidRPr="00A57884" w:rsidRDefault="00A57884" w:rsidP="00A57884">
      <w:pPr>
        <w:shd w:val="clear" w:color="auto" w:fill="FFFFFF"/>
        <w:spacing w:before="120" w:after="120" w:line="240" w:lineRule="auto"/>
        <w:ind w:left="720"/>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تقوم  </w:t>
      </w:r>
      <w:r>
        <w:rPr>
          <w:color w:val="70767A"/>
          <w:sz w:val="24"/>
          <w:szCs w:val="24"/>
          <w:rFonts w:ascii="Vodafone Rg" w:hAnsi="Vodafone Rg" w:cs="Arial"/>
        </w:rPr>
        <w:t xml:space="preserve">Vodafone My Book</w:t>
      </w:r>
      <w:r>
        <w:rPr>
          <w:color w:val="70767A"/>
          <w:sz w:val="24"/>
          <w:szCs w:val="24"/>
          <w:rFonts w:ascii="Vodafone Rg" w:hAnsi="Vodafone Rg" w:hint="cs" w:cs="Arial"/>
          <w:rtl/>
        </w:rPr>
        <w:t xml:space="preserve">، على مدار العام، بإطلاق عروض جديدة تقدمها محلات تجارية جديدة،</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وتتوفر هذه العروض لجميع أعضاء </w:t>
      </w:r>
      <w:r>
        <w:rPr>
          <w:color w:val="70767A"/>
          <w:sz w:val="24"/>
          <w:szCs w:val="24"/>
          <w:rFonts w:ascii="Vodafone Rg" w:hAnsi="Vodafone Rg" w:cs="Arial"/>
        </w:rPr>
        <w:t xml:space="preserve">Vodafone My Book</w:t>
      </w:r>
      <w:r>
        <w:rPr>
          <w:color w:val="70767A"/>
          <w:sz w:val="24"/>
          <w:szCs w:val="24"/>
          <w:rFonts w:ascii="Vodafone Rg" w:hAnsi="Vodafone Rg" w:hint="cs" w:cs="Arial"/>
          <w:rtl/>
        </w:rPr>
        <w:t xml:space="preserve"> وتنطبق عليها قواعد الاستخدام العامة.</w:t>
      </w:r>
    </w:p>
    <w:p w14:paraId="0B20C16C" w14:textId="77777777" w:rsidR="00A57884" w:rsidRPr="00A57884" w:rsidRDefault="00A57884" w:rsidP="00A57884">
      <w:pPr>
        <w:numPr>
          <w:ilvl w:val="0"/>
          <w:numId w:val="2"/>
        </w:numPr>
        <w:shd w:val="clear" w:color="auto" w:fill="FFFFFF"/>
        <w:spacing w:before="360" w:after="120" w:line="240" w:lineRule="auto"/>
        <w:bidi/>
        <w:rPr>
          <w:color w:val="70767A"/>
          <w:spacing w:val="-8"/>
          <w:kern w:val="0"/>
          <w:sz w:val="24"/>
          <w:szCs w:val="24"/>
          <w14:ligatures w14:val="none"/>
          <w:rFonts w:ascii="Vodafone Rg" w:eastAsia="Times New Roman" w:hAnsi="Vodafone Rg" w:cs="Arial" w:hint="cs"/>
          <w:rtl/>
        </w:rPr>
      </w:pPr>
      <w:r>
        <w:rPr>
          <w:b/>
          <w:bCs/>
          <w:color w:val="474B4F"/>
          <w:sz w:val="27"/>
          <w:szCs w:val="27"/>
          <w:rFonts w:ascii="Vodafone Rg" w:hAnsi="Vodafone Rg" w:hint="cs" w:cs="Arial"/>
          <w:rtl/>
        </w:rPr>
        <w:t xml:space="preserve">الأيام المستثناة</w:t>
      </w:r>
    </w:p>
    <w:p w14:paraId="02A915E5" w14:textId="77777777" w:rsidR="00A57884" w:rsidRPr="00A57884" w:rsidRDefault="00A57884" w:rsidP="00A57884">
      <w:pPr>
        <w:shd w:val="clear" w:color="auto" w:fill="FFFFFF"/>
        <w:spacing w:before="120" w:after="120" w:line="240" w:lineRule="auto"/>
        <w:ind w:left="720"/>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يمكن الاستفادة من العروض طوال أيام الأسبوع، باستثناء الأيام التالي ذكرها وفي الأسواق المذكورة أدناه وأي عطلات رسمية أخرى تحددها الحكومة القطرية.</w:t>
      </w:r>
    </w:p>
    <w:p w14:paraId="2BB99483" w14:textId="77777777" w:rsidR="00A57884" w:rsidRPr="00A57884" w:rsidRDefault="00A57884" w:rsidP="00A57884">
      <w:pPr>
        <w:numPr>
          <w:ilvl w:val="1"/>
          <w:numId w:val="2"/>
        </w:numPr>
        <w:shd w:val="clear" w:color="auto" w:fill="FFFFFF"/>
        <w:spacing w:before="100" w:beforeAutospacing="1"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عشية عيد الميلاد</w:t>
      </w:r>
    </w:p>
    <w:p w14:paraId="0983206A"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عيد الميلاد</w:t>
      </w:r>
    </w:p>
    <w:p w14:paraId="067F3D2E"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ليلة رأس السنة</w:t>
      </w:r>
    </w:p>
    <w:p w14:paraId="5A5AC9CD"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يوم رأس السنة الجديدة</w:t>
      </w:r>
    </w:p>
    <w:p w14:paraId="67FCB13C"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عيد الفطر</w:t>
      </w:r>
    </w:p>
    <w:p w14:paraId="64283CFC"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عيد الأضحى</w:t>
      </w:r>
    </w:p>
    <w:p w14:paraId="76B888DA"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عيد الحب</w:t>
      </w:r>
    </w:p>
    <w:p w14:paraId="20671652"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العيد الوطني</w:t>
      </w:r>
    </w:p>
    <w:p w14:paraId="2DD01CD6" w14:textId="77777777" w:rsidR="00A57884" w:rsidRPr="00A57884" w:rsidRDefault="00A57884" w:rsidP="00A57884">
      <w:pPr>
        <w:numPr>
          <w:ilvl w:val="1"/>
          <w:numId w:val="2"/>
        </w:numPr>
        <w:shd w:val="clear" w:color="auto" w:fill="FFFFFF"/>
        <w:spacing w:after="120" w:line="240" w:lineRule="auto"/>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اليوم الرياضي الوطني</w:t>
      </w:r>
    </w:p>
    <w:p w14:paraId="23EEF770" w14:textId="77777777" w:rsidR="00A57884" w:rsidRPr="00A57884" w:rsidRDefault="00A57884" w:rsidP="00A57884">
      <w:pPr>
        <w:shd w:val="clear" w:color="auto" w:fill="FFFFFF"/>
        <w:spacing w:after="120" w:line="240" w:lineRule="auto"/>
        <w:ind w:left="720"/>
        <w:bidi/>
        <w:rPr>
          <w:color w:val="70767A"/>
          <w:spacing w:val="-8"/>
          <w:kern w:val="0"/>
          <w:sz w:val="24"/>
          <w:szCs w:val="24"/>
          <w14:ligatures w14:val="none"/>
          <w:rFonts w:ascii="Vodafone Rg" w:eastAsia="Times New Roman" w:hAnsi="Vodafone Rg" w:cs="Arial" w:hint="cs"/>
          <w:rtl/>
        </w:rPr>
      </w:pPr>
      <w:r>
        <w:rPr>
          <w:color w:val="70767A"/>
          <w:sz w:val="24"/>
          <w:szCs w:val="24"/>
          <w:rFonts w:ascii="Vodafone Rg" w:hAnsi="Vodafone Rg" w:hint="cs" w:cs="Arial"/>
          <w:rtl/>
        </w:rPr>
        <w:t xml:space="preserve">يرجى أخذ العلم أن عدداً محدوداً من المتاجر قد يقفل خلال الصيف وخلال شهر رمضان الكريم وغيره من العطل الدينية المحددة،</w:t>
      </w:r>
      <w:r>
        <w:rPr>
          <w:color w:val="70767A"/>
          <w:sz w:val="24"/>
          <w:szCs w:val="24"/>
          <w:rFonts w:ascii="Vodafone Rg" w:hAnsi="Vodafone Rg" w:hint="cs" w:cs="Arial"/>
          <w:rtl/>
        </w:rPr>
        <w:t xml:space="preserve"> </w:t>
      </w:r>
      <w:r>
        <w:rPr>
          <w:color w:val="70767A"/>
          <w:sz w:val="24"/>
          <w:szCs w:val="24"/>
          <w:rFonts w:ascii="Vodafone Rg" w:hAnsi="Vodafone Rg" w:hint="cs" w:cs="Arial"/>
          <w:rtl/>
        </w:rPr>
        <w:t xml:space="preserve">لذلك، لا نتحمل مسؤولية إقفال المتجر بشكل مؤقت أو دائم خلال فترة صلاحية العرض.</w:t>
      </w:r>
    </w:p>
    <w:p w14:paraId="01751329" w14:textId="77777777" w:rsidR="00596FAF" w:rsidRPr="00A57884" w:rsidRDefault="00596FAF" w:rsidP="00A57884">
      <w:pPr>
        <w:spacing w:line="240" w:lineRule="auto"/>
        <w:rPr>
          <w:rFonts w:ascii="Vodafone Rg" w:hAnsi="Vodafone Rg"/>
        </w:rPr>
      </w:pPr>
    </w:p>
    <w:sectPr w:rsidR="00596FAF" w:rsidRPr="00A57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odafone Rg">
    <w:panose1 w:val="020B0606080202020204"/>
    <w:charset w:val="00"/>
    <w:family w:val="swiss"/>
    <w:pitch w:val="variable"/>
    <w:sig w:usb0="A00002BF" w:usb1="1000204B"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62D0B"/>
    <w:multiLevelType w:val="multilevel"/>
    <w:tmpl w:val="4FB0AC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AE153F8"/>
    <w:multiLevelType w:val="multilevel"/>
    <w:tmpl w:val="348E7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5573722">
    <w:abstractNumId w:val="0"/>
  </w:num>
  <w:num w:numId="2" w16cid:durableId="257761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84"/>
    <w:rsid w:val="00096693"/>
    <w:rsid w:val="00311696"/>
    <w:rsid w:val="003176F3"/>
    <w:rsid w:val="004E29F6"/>
    <w:rsid w:val="00596FAF"/>
    <w:rsid w:val="00714BC1"/>
    <w:rsid w:val="00833F18"/>
    <w:rsid w:val="008A7D75"/>
    <w:rsid w:val="009971BF"/>
    <w:rsid w:val="00A57884"/>
    <w:rsid w:val="00D25EEF"/>
    <w:rsid w:val="00DD5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A35B"/>
  <w15:chartTrackingRefBased/>
  <w15:docId w15:val="{D7A70E50-A35D-4FB4-8795-8F0C3D33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7884"/>
    <w:pPr>
      <w:spacing w:before="100" w:beforeAutospacing="1" w:after="100" w:afterAutospacing="1" w:line="240" w:lineRule="auto"/>
      <w:outlineLvl w:val="1"/>
    </w:pPr>
    <w:rPr>
      <w:rFonts w:ascii="Times New Roman" w:eastAsia="Times New Roman" w:hAnsi="Times New Roman" w:cs="Arial"/>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7884"/>
    <w:rPr>
      <w:rFonts w:ascii="Times New Roman" w:eastAsia="Times New Roman" w:hAnsi="Times New Roman" w:cs="Arial"/>
      <w:b/>
      <w:bCs/>
      <w:kern w:val="0"/>
      <w:sz w:val="36"/>
      <w:szCs w:val="36"/>
      <w14:ligatures w14:val="none"/>
    </w:rPr>
  </w:style>
  <w:style w:type="character" w:customStyle="1" w:styleId="li-title">
    <w:name w:val="li-title"/>
    <w:basedOn w:val="DefaultParagraphFont"/>
    <w:rsid w:val="00A57884"/>
  </w:style>
  <w:style w:type="paragraph" w:styleId="NormalWeb">
    <w:name w:val="Normal (Web)"/>
    <w:basedOn w:val="Normal"/>
    <w:uiPriority w:val="99"/>
    <w:semiHidden/>
    <w:unhideWhenUsed/>
    <w:rsid w:val="00A57884"/>
    <w:pPr>
      <w:spacing w:before="100" w:beforeAutospacing="1" w:after="100" w:afterAutospacing="1" w:line="240" w:lineRule="auto"/>
    </w:pPr>
    <w:rPr>
      <w:rFonts w:ascii="Times New Roman" w:eastAsia="Times New Roman" w:hAnsi="Times New Roman" w:cs="Arial"/>
      <w:kern w:val="0"/>
      <w:sz w:val="24"/>
      <w:szCs w:val="24"/>
      <w14:ligatures w14:val="none"/>
    </w:rPr>
  </w:style>
  <w:style w:type="character" w:styleId="Hyperlink">
    <w:name w:val="Hyperlink"/>
    <w:basedOn w:val="DefaultParagraphFont"/>
    <w:uiPriority w:val="99"/>
    <w:unhideWhenUsed/>
    <w:rsid w:val="00714BC1"/>
    <w:rPr>
      <w:color w:val="0563C1" w:themeColor="hyperlink"/>
      <w:u w:val="single"/>
    </w:rPr>
  </w:style>
  <w:style w:type="character" w:styleId="UnresolvedMention">
    <w:name w:val="Unresolved Mention"/>
    <w:basedOn w:val="DefaultParagraphFont"/>
    <w:uiPriority w:val="99"/>
    <w:semiHidden/>
    <w:unhideWhenUsed/>
    <w:rsid w:val="0071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3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stomerservice@mybookqat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1191</Words>
  <Characters>6789</Characters>
  <Application>Microsoft Office Word</Application>
  <DocSecurity>0</DocSecurity>
  <Lines>56</Lines>
  <Paragraphs>15</Paragraphs>
  <ScaleCrop>false</ScaleCrop>
  <Company>Vodafone Qatar</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 Rashid A G Al-Madadi</dc:creator>
  <cp:keywords/>
  <dc:description/>
  <cp:lastModifiedBy>Haya Rashid A G Al-Madadi</cp:lastModifiedBy>
  <cp:revision>9</cp:revision>
  <dcterms:created xsi:type="dcterms:W3CDTF">2023-12-19T11:59:00Z</dcterms:created>
  <dcterms:modified xsi:type="dcterms:W3CDTF">2023-12-19T12:37:00Z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005795-ba7c-40ef-b6d7-815de3cb1a85_Enabled">
    <vt:lpwstr>true</vt:lpwstr>
  </property>
  <property fmtid="{D5CDD505-2E9C-101B-9397-08002B2CF9AE}" pid="3" name="MSIP_Label_4c005795-ba7c-40ef-b6d7-815de3cb1a85_SetDate">
    <vt:lpwstr>2023-12-19T12:01:17Z</vt:lpwstr>
  </property>
  <property fmtid="{D5CDD505-2E9C-101B-9397-08002B2CF9AE}" pid="4" name="MSIP_Label_4c005795-ba7c-40ef-b6d7-815de3cb1a85_Method">
    <vt:lpwstr>Standard</vt:lpwstr>
  </property>
  <property fmtid="{D5CDD505-2E9C-101B-9397-08002B2CF9AE}" pid="5" name="MSIP_Label_4c005795-ba7c-40ef-b6d7-815de3cb1a85_Name">
    <vt:lpwstr>defa4170-0d19-0005-0001-bc88714345d2</vt:lpwstr>
  </property>
  <property fmtid="{D5CDD505-2E9C-101B-9397-08002B2CF9AE}" pid="6" name="MSIP_Label_4c005795-ba7c-40ef-b6d7-815de3cb1a85_SiteId">
    <vt:lpwstr>c5d7ec23-378f-4174-8888-88b4c2ec7e12</vt:lpwstr>
  </property>
  <property fmtid="{D5CDD505-2E9C-101B-9397-08002B2CF9AE}" pid="7" name="MSIP_Label_4c005795-ba7c-40ef-b6d7-815de3cb1a85_ActionId">
    <vt:lpwstr>50f5401d-c357-412a-a783-473fff49f0f6</vt:lpwstr>
  </property>
  <property fmtid="{D5CDD505-2E9C-101B-9397-08002B2CF9AE}" pid="8" name="MSIP_Label_4c005795-ba7c-40ef-b6d7-815de3cb1a85_ContentBits">
    <vt:lpwstr>0</vt:lpwstr>
  </property>
</Properties>
</file>